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28"/>
        <w:gridCol w:w="4550"/>
      </w:tblGrid>
      <w:tr w:rsidR="00171F69" w:rsidRPr="000C63C2" w:rsidTr="00070A9B">
        <w:trPr>
          <w:trHeight w:val="538"/>
        </w:trPr>
        <w:tc>
          <w:tcPr>
            <w:tcW w:w="6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F73D29" w:rsidRDefault="00ED5E7A" w:rsidP="00B330C7">
            <w:pPr>
              <w:rPr>
                <w:b/>
                <w:sz w:val="22"/>
                <w:szCs w:val="22"/>
                <w:lang w:val="en-US"/>
              </w:rPr>
            </w:pPr>
            <w:r w:rsidRPr="00F73D29">
              <w:rPr>
                <w:b/>
                <w:sz w:val="22"/>
                <w:szCs w:val="22"/>
                <w:lang w:val="en-US"/>
              </w:rPr>
              <w:t>Course title</w:t>
            </w:r>
          </w:p>
          <w:p w:rsidR="008A071D" w:rsidRDefault="008C1020" w:rsidP="008C1020">
            <w:pPr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Advanced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C1020">
              <w:rPr>
                <w:sz w:val="22"/>
                <w:szCs w:val="22"/>
                <w:lang w:val="en-US"/>
              </w:rPr>
              <w:t>chemistry laboratory - analytical chemistry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8A071D">
              <w:rPr>
                <w:sz w:val="22"/>
                <w:szCs w:val="22"/>
                <w:lang w:val="en-US"/>
              </w:rPr>
              <w:t>– ERASMUS</w:t>
            </w:r>
          </w:p>
          <w:p w:rsidR="00241721" w:rsidRPr="008A071D" w:rsidRDefault="008C1020" w:rsidP="008C1020">
            <w:pPr>
              <w:rPr>
                <w:sz w:val="22"/>
                <w:szCs w:val="22"/>
              </w:rPr>
            </w:pPr>
            <w:r w:rsidRPr="008C1020">
              <w:rPr>
                <w:sz w:val="22"/>
                <w:szCs w:val="22"/>
              </w:rPr>
              <w:t>Laboratorium zaawansowanej chemii - chemia analityczna</w:t>
            </w:r>
            <w:r>
              <w:rPr>
                <w:sz w:val="22"/>
                <w:szCs w:val="22"/>
              </w:rPr>
              <w:t xml:space="preserve"> –</w:t>
            </w:r>
            <w:r w:rsidR="008A071D">
              <w:rPr>
                <w:sz w:val="22"/>
                <w:szCs w:val="22"/>
              </w:rPr>
              <w:t xml:space="preserve"> ERASMUS</w:t>
            </w: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ED5E7A" w:rsidRPr="000C63C2">
              <w:rPr>
                <w:b/>
                <w:sz w:val="22"/>
                <w:szCs w:val="22"/>
                <w:lang w:val="en-US"/>
              </w:rPr>
              <w:t xml:space="preserve"> code</w:t>
            </w:r>
          </w:p>
          <w:p w:rsidR="00241721" w:rsidRPr="000C63C2" w:rsidRDefault="004B68D3" w:rsidP="004B68D3">
            <w:pPr>
              <w:rPr>
                <w:sz w:val="22"/>
                <w:szCs w:val="22"/>
                <w:lang w:val="en-US"/>
              </w:rPr>
            </w:pPr>
            <w:r w:rsidRPr="004B68D3">
              <w:rPr>
                <w:sz w:val="22"/>
                <w:szCs w:val="22"/>
                <w:lang w:val="en-US"/>
              </w:rPr>
              <w:t>13.3.1252</w:t>
            </w:r>
            <w:bookmarkStart w:id="0" w:name="_GoBack"/>
            <w:bookmarkEnd w:id="0"/>
          </w:p>
        </w:tc>
      </w:tr>
      <w:tr w:rsidR="00171F69" w:rsidRPr="00A43B59" w:rsidTr="00070A9B">
        <w:trPr>
          <w:trHeight w:val="52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7B2" w:rsidRPr="000C63C2" w:rsidRDefault="006F17B2" w:rsidP="000A07C2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Name of unit administrating study </w:t>
            </w:r>
          </w:p>
          <w:p w:rsidR="00241721" w:rsidRPr="000C63C2" w:rsidRDefault="00070A9B" w:rsidP="003B13F9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Faculty </w:t>
            </w:r>
            <w:r w:rsidR="00A15F9B" w:rsidRPr="000C63C2">
              <w:rPr>
                <w:sz w:val="22"/>
                <w:szCs w:val="22"/>
                <w:lang w:val="en-US"/>
              </w:rPr>
              <w:t>Chemistry</w:t>
            </w:r>
          </w:p>
        </w:tc>
      </w:tr>
      <w:tr w:rsidR="00171F69" w:rsidRPr="000C63C2" w:rsidTr="00070A9B">
        <w:trPr>
          <w:trHeight w:val="359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20EEF" w:rsidP="0066480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Studies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2568"/>
              <w:gridCol w:w="2568"/>
              <w:gridCol w:w="2569"/>
            </w:tblGrid>
            <w:tr w:rsidR="00171F69" w:rsidRPr="000C63C2" w:rsidTr="006A37B8">
              <w:tc>
                <w:tcPr>
                  <w:tcW w:w="2568" w:type="dxa"/>
                </w:tcPr>
                <w:p w:rsidR="00965A3A" w:rsidRPr="000C63C2" w:rsidRDefault="00ED5E7A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Field of study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Type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Form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9" w:type="dxa"/>
                </w:tcPr>
                <w:p w:rsidR="00965A3A" w:rsidRPr="000C63C2" w:rsidRDefault="00965A3A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171F69" w:rsidRPr="000C63C2" w:rsidTr="00210A2F">
              <w:tc>
                <w:tcPr>
                  <w:tcW w:w="2568" w:type="dxa"/>
                </w:tcPr>
                <w:p w:rsidR="00965A3A" w:rsidRPr="000C63C2" w:rsidRDefault="00825F01" w:rsidP="00617BB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Chemi</w:t>
                  </w:r>
                  <w:r w:rsidR="00617BB5">
                    <w:rPr>
                      <w:sz w:val="22"/>
                      <w:szCs w:val="22"/>
                      <w:lang w:val="en-US"/>
                    </w:rPr>
                    <w:t>stry</w:t>
                  </w:r>
                </w:p>
              </w:tc>
              <w:tc>
                <w:tcPr>
                  <w:tcW w:w="2568" w:type="dxa"/>
                  <w:vAlign w:val="center"/>
                </w:tcPr>
                <w:p w:rsidR="00965A3A" w:rsidRPr="000C63C2" w:rsidRDefault="003B13F9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Bachelor </w:t>
                  </w:r>
                </w:p>
              </w:tc>
              <w:tc>
                <w:tcPr>
                  <w:tcW w:w="2568" w:type="dxa"/>
                  <w:vAlign w:val="center"/>
                </w:tcPr>
                <w:p w:rsidR="003B13F9" w:rsidRPr="000C63C2" w:rsidRDefault="003B13F9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  <w:r w:rsidR="003968EC" w:rsidRPr="000C63C2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69" w:type="dxa"/>
                </w:tcPr>
                <w:p w:rsidR="00965A3A" w:rsidRPr="000C63C2" w:rsidRDefault="00965A3A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320B85" w:rsidRPr="000C63C2" w:rsidTr="00210A2F">
              <w:tc>
                <w:tcPr>
                  <w:tcW w:w="2568" w:type="dxa"/>
                </w:tcPr>
                <w:p w:rsidR="00320B85" w:rsidRPr="000C63C2" w:rsidRDefault="00320B85" w:rsidP="00320B8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Chemi</w:t>
                  </w:r>
                  <w:r>
                    <w:rPr>
                      <w:sz w:val="22"/>
                      <w:szCs w:val="22"/>
                      <w:lang w:val="en-US"/>
                    </w:rPr>
                    <w:t>stry</w:t>
                  </w:r>
                </w:p>
              </w:tc>
              <w:tc>
                <w:tcPr>
                  <w:tcW w:w="2568" w:type="dxa"/>
                  <w:vAlign w:val="center"/>
                </w:tcPr>
                <w:p w:rsidR="00320B85" w:rsidRPr="000C63C2" w:rsidRDefault="00320B85" w:rsidP="00320B8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Master</w:t>
                  </w: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68" w:type="dxa"/>
                  <w:vAlign w:val="center"/>
                </w:tcPr>
                <w:p w:rsidR="00320B85" w:rsidRPr="000C63C2" w:rsidRDefault="00320B85" w:rsidP="00320B8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Full-time studies </w:t>
                  </w:r>
                </w:p>
              </w:tc>
              <w:tc>
                <w:tcPr>
                  <w:tcW w:w="2569" w:type="dxa"/>
                </w:tcPr>
                <w:p w:rsidR="00320B85" w:rsidRPr="000C63C2" w:rsidRDefault="00320B85" w:rsidP="00320B85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241721" w:rsidRPr="000C63C2" w:rsidRDefault="00241721" w:rsidP="006648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52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0C63C2" w:rsidRDefault="00620EEF" w:rsidP="00B330C7">
            <w:pPr>
              <w:rPr>
                <w:b/>
                <w:sz w:val="22"/>
                <w:szCs w:val="22"/>
              </w:rPr>
            </w:pPr>
            <w:proofErr w:type="spellStart"/>
            <w:r w:rsidRPr="000C63C2">
              <w:rPr>
                <w:b/>
                <w:sz w:val="22"/>
                <w:szCs w:val="22"/>
              </w:rPr>
              <w:t>Teaching</w:t>
            </w:r>
            <w:proofErr w:type="spellEnd"/>
            <w:r w:rsidRPr="000C63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63C2">
              <w:rPr>
                <w:b/>
                <w:sz w:val="22"/>
                <w:szCs w:val="22"/>
              </w:rPr>
              <w:t>staff</w:t>
            </w:r>
            <w:proofErr w:type="spellEnd"/>
          </w:p>
          <w:p w:rsidR="00241721" w:rsidRPr="000C63C2" w:rsidRDefault="008C1020" w:rsidP="008C1020">
            <w:pPr>
              <w:rPr>
                <w:sz w:val="22"/>
                <w:szCs w:val="22"/>
              </w:rPr>
            </w:pPr>
            <w:r w:rsidRPr="008C1020">
              <w:rPr>
                <w:sz w:val="22"/>
                <w:szCs w:val="22"/>
              </w:rPr>
              <w:t>dr Paweł Niedziałkowski</w:t>
            </w:r>
            <w:r>
              <w:rPr>
                <w:sz w:val="22"/>
                <w:szCs w:val="22"/>
              </w:rPr>
              <w:t xml:space="preserve">, </w:t>
            </w:r>
            <w:r w:rsidR="00E72664" w:rsidRPr="000C63C2">
              <w:rPr>
                <w:sz w:val="22"/>
                <w:szCs w:val="22"/>
              </w:rPr>
              <w:t>dr Grzegorz Olszewski</w:t>
            </w:r>
            <w:r w:rsidR="00A43B59">
              <w:rPr>
                <w:sz w:val="22"/>
                <w:szCs w:val="22"/>
              </w:rPr>
              <w:t>; mgr Aleksandra Moniakowska</w:t>
            </w:r>
          </w:p>
        </w:tc>
      </w:tr>
      <w:tr w:rsidR="00171F69" w:rsidRPr="00A43B59" w:rsidTr="00070A9B">
        <w:trPr>
          <w:trHeight w:val="482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F17B2" w:rsidP="00315902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classes, the realiz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>ation and num</w:t>
            </w:r>
            <w:r w:rsidR="004A19EF" w:rsidRPr="000C63C2">
              <w:rPr>
                <w:b/>
                <w:sz w:val="22"/>
                <w:szCs w:val="22"/>
                <w:lang w:val="en-US"/>
              </w:rPr>
              <w:t>b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er of hours 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C63C2" w:rsidRPr="000C63C2" w:rsidRDefault="00241721" w:rsidP="009070AA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 credits</w:t>
            </w:r>
            <w:r w:rsidR="00617BB5">
              <w:rPr>
                <w:b/>
                <w:sz w:val="22"/>
                <w:szCs w:val="22"/>
                <w:lang w:val="en-US"/>
              </w:rPr>
              <w:t xml:space="preserve"> </w:t>
            </w:r>
            <w:r w:rsidR="001B0900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7C1DA6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8C1020">
              <w:rPr>
                <w:b/>
                <w:sz w:val="22"/>
                <w:szCs w:val="22"/>
                <w:lang w:val="en-US"/>
              </w:rPr>
              <w:t>3</w:t>
            </w:r>
          </w:p>
          <w:p w:rsidR="00617BB5" w:rsidRPr="004A62AB" w:rsidRDefault="0089258F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0C63C2">
              <w:rPr>
                <w:rFonts w:eastAsiaTheme="minorHAnsi"/>
                <w:sz w:val="22"/>
                <w:szCs w:val="22"/>
                <w:lang w:val="en-US" w:eastAsia="en-US"/>
              </w:rPr>
              <w:br/>
            </w:r>
            <w:r w:rsidR="008C1020">
              <w:rPr>
                <w:rFonts w:eastAsiaTheme="minorHAnsi"/>
                <w:sz w:val="22"/>
                <w:szCs w:val="22"/>
                <w:lang w:val="en-GB" w:eastAsia="en-US"/>
              </w:rPr>
              <w:t>classes 2</w:t>
            </w:r>
            <w:r w:rsidR="00617BB5" w:rsidRPr="004A62AB">
              <w:rPr>
                <w:rFonts w:eastAsiaTheme="minorHAnsi"/>
                <w:sz w:val="22"/>
                <w:szCs w:val="22"/>
                <w:lang w:val="en-GB" w:eastAsia="en-US"/>
              </w:rPr>
              <w:t>0 h</w:t>
            </w:r>
          </w:p>
          <w:p w:rsidR="00617BB5" w:rsidRPr="004A62AB" w:rsidRDefault="00617BB5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tutorial classes </w:t>
            </w:r>
            <w:r w:rsidR="008C1020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val="en-GB" w:eastAsia="en-US"/>
              </w:rPr>
              <w:t>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:rsidR="00617BB5" w:rsidRPr="004A62AB" w:rsidRDefault="00617BB5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sz w:val="22"/>
                <w:szCs w:val="22"/>
                <w:lang w:val="en-GB" w:eastAsia="en-US"/>
              </w:rPr>
              <w:t xml:space="preserve">student’s own work </w:t>
            </w:r>
            <w:r w:rsidR="008C1020">
              <w:rPr>
                <w:rFonts w:eastAsiaTheme="minorHAnsi"/>
                <w:sz w:val="22"/>
                <w:szCs w:val="22"/>
                <w:lang w:val="en-GB" w:eastAsia="en-US"/>
              </w:rPr>
              <w:t>45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:rsidR="00617BB5" w:rsidRPr="000C63C2" w:rsidRDefault="00617BB5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TOTAL: </w:t>
            </w:r>
            <w:r w:rsidR="008C1020">
              <w:rPr>
                <w:rFonts w:eastAsiaTheme="minorHAnsi"/>
                <w:sz w:val="22"/>
                <w:szCs w:val="22"/>
                <w:lang w:val="en-GB" w:eastAsia="en-US"/>
              </w:rPr>
              <w:t>75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 - </w:t>
            </w:r>
            <w:r w:rsidR="008C1020">
              <w:rPr>
                <w:rFonts w:eastAsiaTheme="minorHAnsi"/>
                <w:sz w:val="22"/>
                <w:szCs w:val="22"/>
                <w:lang w:val="en-GB" w:eastAsia="en-US"/>
              </w:rPr>
              <w:t>3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ECTS</w:t>
            </w:r>
          </w:p>
          <w:p w:rsidR="001B0900" w:rsidRPr="000C63C2" w:rsidRDefault="001B0900" w:rsidP="009070AA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:rsidR="00A05716" w:rsidRPr="000C63C2" w:rsidRDefault="00A05716" w:rsidP="000A46AF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71F69" w:rsidRPr="00617BB5" w:rsidTr="00070A9B">
        <w:trPr>
          <w:trHeight w:val="55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D12CE" w:rsidRPr="000C63C2" w:rsidRDefault="0031590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,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UG Rector’s regulation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>s</w:t>
            </w:r>
          </w:p>
          <w:p w:rsidR="007D12CE" w:rsidRPr="000C63C2" w:rsidRDefault="0064605C" w:rsidP="0064605C">
            <w:pPr>
              <w:ind w:firstLine="696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laboratory classes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418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F17B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realization of activities</w:t>
            </w:r>
          </w:p>
          <w:p w:rsidR="009070AA" w:rsidRPr="000C63C2" w:rsidRDefault="0064605C" w:rsidP="009070AA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In-class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50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12CE" w:rsidRPr="000C63C2" w:rsidRDefault="00BF1038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Number of hours</w:t>
            </w:r>
            <w:r w:rsidR="007D12CE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5431D0" w:rsidRPr="000C63C2" w:rsidRDefault="008C1020" w:rsidP="000C63C2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0C63C2" w:rsidRPr="000C63C2">
              <w:rPr>
                <w:sz w:val="22"/>
                <w:szCs w:val="22"/>
                <w:lang w:val="en-US"/>
              </w:rPr>
              <w:t>0 h - laboratory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4A90" w:rsidRPr="000C63C2" w:rsidRDefault="00A24A90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52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a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cademic cycle</w:t>
            </w:r>
          </w:p>
          <w:p w:rsidR="00241721" w:rsidRPr="000C63C2" w:rsidRDefault="007371A3" w:rsidP="000A46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winter</w:t>
            </w:r>
          </w:p>
        </w:tc>
      </w:tr>
      <w:tr w:rsidR="00171F69" w:rsidRPr="000C63C2" w:rsidTr="00070A9B">
        <w:trPr>
          <w:trHeight w:val="47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0B85" w:rsidRPr="00BC709B" w:rsidRDefault="00320B85" w:rsidP="00320B85">
            <w:pPr>
              <w:rPr>
                <w:b/>
                <w:sz w:val="22"/>
                <w:szCs w:val="22"/>
                <w:lang w:val="en-US"/>
              </w:rPr>
            </w:pPr>
            <w:r w:rsidRPr="00BC709B">
              <w:rPr>
                <w:b/>
                <w:sz w:val="22"/>
                <w:szCs w:val="22"/>
                <w:lang w:val="en-US"/>
              </w:rPr>
              <w:t>Type of course</w:t>
            </w:r>
          </w:p>
          <w:p w:rsidR="00241721" w:rsidRPr="000C63C2" w:rsidRDefault="00320B85" w:rsidP="00320B85">
            <w:pPr>
              <w:rPr>
                <w:sz w:val="22"/>
                <w:szCs w:val="22"/>
                <w:lang w:val="en-US"/>
              </w:rPr>
            </w:pPr>
            <w:r w:rsidRPr="00BC709B">
              <w:rPr>
                <w:sz w:val="22"/>
                <w:szCs w:val="22"/>
                <w:lang w:val="en-US"/>
              </w:rPr>
              <w:t>facultative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BF103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Language</w:t>
            </w:r>
            <w:r w:rsidR="006F17B2" w:rsidRPr="000C63C2">
              <w:rPr>
                <w:b/>
                <w:sz w:val="22"/>
                <w:szCs w:val="22"/>
                <w:lang w:val="en-US"/>
              </w:rPr>
              <w:t xml:space="preserve"> of instruction</w:t>
            </w:r>
          </w:p>
          <w:p w:rsidR="0066480A" w:rsidRPr="000C63C2" w:rsidRDefault="00EC4696" w:rsidP="00EC46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171F69" w:rsidRPr="00A43B59" w:rsidTr="00070A9B">
        <w:trPr>
          <w:trHeight w:val="561"/>
        </w:trPr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431D0" w:rsidRPr="000C63C2" w:rsidRDefault="00BF1038" w:rsidP="00BA2987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Teaching methods</w:t>
            </w:r>
          </w:p>
          <w:p w:rsidR="00973D23" w:rsidRPr="000C63C2" w:rsidRDefault="00973D23" w:rsidP="00210A2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47D8C" w:rsidRPr="000C63C2" w:rsidRDefault="00147D8C" w:rsidP="00210A2F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Laboratory experiments</w:t>
            </w:r>
          </w:p>
          <w:p w:rsidR="00953F5A" w:rsidRPr="000C63C2" w:rsidRDefault="00953F5A" w:rsidP="00DC0F2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6F17B2" w:rsidP="00BF1038">
            <w:pPr>
              <w:ind w:left="356" w:hanging="356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 and method of assessment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 and basic criteria for evaluation or examination requirements </w:t>
            </w:r>
          </w:p>
        </w:tc>
      </w:tr>
      <w:tr w:rsidR="00171F69" w:rsidRPr="00A43B59" w:rsidTr="00070A9B">
        <w:trPr>
          <w:trHeight w:val="602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F52157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A. Final evaluation</w:t>
            </w:r>
            <w:r w:rsidR="00973D23" w:rsidRPr="000C63C2">
              <w:rPr>
                <w:b/>
                <w:sz w:val="22"/>
                <w:szCs w:val="22"/>
                <w:lang w:val="en-US"/>
              </w:rPr>
              <w:t>,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UG study regulations </w:t>
            </w:r>
          </w:p>
          <w:p w:rsidR="00973D23" w:rsidRPr="000C63C2" w:rsidRDefault="003A0915" w:rsidP="00453F1E">
            <w:pPr>
              <w:ind w:left="356"/>
              <w:rPr>
                <w:sz w:val="22"/>
                <w:szCs w:val="22"/>
                <w:lang w:val="en-US"/>
              </w:rPr>
            </w:pPr>
            <w:r w:rsidRPr="00092FBC">
              <w:rPr>
                <w:sz w:val="22"/>
                <w:szCs w:val="22"/>
                <w:lang w:val="en-US"/>
              </w:rPr>
              <w:t>course completion (with a grade)</w:t>
            </w:r>
          </w:p>
        </w:tc>
      </w:tr>
      <w:tr w:rsidR="00171F69" w:rsidRPr="00A43B59" w:rsidTr="00006C93">
        <w:trPr>
          <w:trHeight w:val="963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F52157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B. Assessment methods</w:t>
            </w:r>
          </w:p>
          <w:p w:rsidR="00953F5A" w:rsidRPr="000C63C2" w:rsidRDefault="00147D8C" w:rsidP="00DC0F20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Writing test</w:t>
            </w:r>
            <w:r w:rsidR="00070A9B" w:rsidRPr="000C63C2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71F69" w:rsidRPr="00A43B59" w:rsidTr="0064605C">
        <w:trPr>
          <w:trHeight w:val="799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6F17B2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C. The b</w:t>
            </w:r>
            <w:r w:rsidR="00B55362" w:rsidRPr="000C63C2">
              <w:rPr>
                <w:b/>
                <w:sz w:val="22"/>
                <w:szCs w:val="22"/>
                <w:lang w:val="en-US"/>
              </w:rPr>
              <w:t>asic criteria for evaluation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973D23" w:rsidRPr="000C63C2">
              <w:rPr>
                <w:sz w:val="22"/>
                <w:szCs w:val="22"/>
                <w:lang w:val="en-US"/>
              </w:rPr>
              <w:t>o</w:t>
            </w:r>
            <w:r w:rsidR="00B55362" w:rsidRPr="000C63C2">
              <w:rPr>
                <w:sz w:val="22"/>
                <w:szCs w:val="22"/>
                <w:lang w:val="en-US"/>
              </w:rPr>
              <w:t xml:space="preserve">r exam requirements </w:t>
            </w:r>
          </w:p>
          <w:p w:rsidR="00147D8C" w:rsidRPr="0064605C" w:rsidRDefault="00147D8C" w:rsidP="0064605C">
            <w:pPr>
              <w:ind w:left="129"/>
              <w:rPr>
                <w:sz w:val="22"/>
                <w:szCs w:val="22"/>
                <w:lang w:val="en-GB"/>
              </w:rPr>
            </w:pPr>
            <w:r w:rsidRPr="000C63C2">
              <w:rPr>
                <w:sz w:val="22"/>
                <w:szCs w:val="22"/>
                <w:lang w:val="en-GB"/>
              </w:rPr>
              <w:t>Evaluation criteria in accordance with the UG Studies Regulations;</w:t>
            </w:r>
          </w:p>
        </w:tc>
      </w:tr>
      <w:tr w:rsidR="00171F69" w:rsidRPr="00A43B59" w:rsidTr="007C1DA6">
        <w:trPr>
          <w:trHeight w:val="582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0C63C2" w:rsidRDefault="003E266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Required courses and introductory requirements </w:t>
            </w:r>
          </w:p>
          <w:p w:rsidR="00241721" w:rsidRPr="000C63C2" w:rsidRDefault="00147D8C" w:rsidP="0089258F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no requirements</w:t>
            </w:r>
          </w:p>
        </w:tc>
      </w:tr>
      <w:tr w:rsidR="00171F69" w:rsidRPr="00A43B59" w:rsidTr="00070A9B">
        <w:trPr>
          <w:trHeight w:val="90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41721" w:rsidRPr="000C63C2" w:rsidRDefault="006A37B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Aims of education</w:t>
            </w:r>
          </w:p>
          <w:p w:rsidR="00320B85" w:rsidRDefault="008C1020" w:rsidP="008C1020">
            <w:pPr>
              <w:rPr>
                <w:sz w:val="22"/>
                <w:szCs w:val="22"/>
                <w:lang w:val="en-GB"/>
              </w:rPr>
            </w:pPr>
            <w:r w:rsidRPr="008C1020">
              <w:rPr>
                <w:sz w:val="22"/>
                <w:szCs w:val="22"/>
                <w:lang w:val="en-GB"/>
              </w:rPr>
              <w:t>Acquaintance with modern research techniques in analytical chemistry.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8C1020">
              <w:rPr>
                <w:sz w:val="22"/>
                <w:szCs w:val="22"/>
                <w:lang w:val="en-GB"/>
              </w:rPr>
              <w:t>Developing of the skill to choose the optimal research method for a given problem.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8C1020">
              <w:rPr>
                <w:sz w:val="22"/>
                <w:szCs w:val="22"/>
                <w:lang w:val="en-GB"/>
              </w:rPr>
              <w:t>Developing of the skills of independent detection and determination of various chemical substances.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8C1020">
              <w:rPr>
                <w:sz w:val="22"/>
                <w:szCs w:val="22"/>
                <w:lang w:val="en-GB"/>
              </w:rPr>
              <w:t>Acquiring of proficiency in the estimating the expected result and determination of the sources and scale of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8C1020">
              <w:rPr>
                <w:sz w:val="22"/>
                <w:szCs w:val="22"/>
                <w:lang w:val="en-GB"/>
              </w:rPr>
              <w:t>occurring errors during experiments.</w:t>
            </w:r>
          </w:p>
          <w:p w:rsidR="008C1020" w:rsidRDefault="008C1020" w:rsidP="008C1020">
            <w:pPr>
              <w:rPr>
                <w:sz w:val="22"/>
                <w:szCs w:val="22"/>
                <w:lang w:val="en-GB"/>
              </w:rPr>
            </w:pPr>
          </w:p>
          <w:p w:rsidR="00320B85" w:rsidRPr="000C63C2" w:rsidRDefault="00320B85" w:rsidP="008C1020">
            <w:pPr>
              <w:rPr>
                <w:sz w:val="22"/>
                <w:szCs w:val="22"/>
                <w:lang w:val="en-GB"/>
              </w:rPr>
            </w:pPr>
            <w:r w:rsidRPr="00C5106D">
              <w:rPr>
                <w:b/>
                <w:sz w:val="22"/>
                <w:szCs w:val="22"/>
                <w:lang w:val="en-US"/>
              </w:rPr>
              <w:t xml:space="preserve">Convergent to: </w:t>
            </w:r>
            <w:r w:rsidRPr="00C5106D">
              <w:rPr>
                <w:sz w:val="22"/>
                <w:szCs w:val="22"/>
                <w:lang w:val="en-US"/>
              </w:rPr>
              <w:t>physical chemistry, analytical chemistry</w:t>
            </w:r>
          </w:p>
        </w:tc>
      </w:tr>
      <w:tr w:rsidR="00171F69" w:rsidRPr="00A43B59" w:rsidTr="00F90DE5">
        <w:trPr>
          <w:trHeight w:val="109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121" w:rsidRPr="000C63C2" w:rsidRDefault="006A37B8" w:rsidP="00AD07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Course contents</w:t>
            </w:r>
          </w:p>
          <w:p w:rsidR="008C1020" w:rsidRPr="008C1020" w:rsidRDefault="008C1020" w:rsidP="008C1020">
            <w:pPr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Acquaintance with modern methods used in analytical and instrumental chemistry. Presentation of research</w:t>
            </w:r>
          </w:p>
          <w:p w:rsidR="008C1020" w:rsidRPr="008C1020" w:rsidRDefault="008C1020" w:rsidP="008C1020">
            <w:pPr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problems and performing discussion on the selection of an advanced analytical method. Quantitative analysis</w:t>
            </w:r>
          </w:p>
          <w:p w:rsidR="008C1020" w:rsidRPr="008C1020" w:rsidRDefault="008C1020" w:rsidP="008C1020">
            <w:pPr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of selected compounds (e.g. determination of the content of dyes in leaves and flowers, fluorides in toothpastes,</w:t>
            </w:r>
          </w:p>
          <w:p w:rsidR="00001C8A" w:rsidRPr="000C63C2" w:rsidRDefault="008C1020" w:rsidP="008C1020">
            <w:pPr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phosphates: in water, drinks and washing powders, acids in drinks, caffeine in coffee)</w:t>
            </w:r>
          </w:p>
        </w:tc>
      </w:tr>
      <w:tr w:rsidR="00171F69" w:rsidRPr="00A43B59" w:rsidTr="004C0CF8">
        <w:trPr>
          <w:trHeight w:val="109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lastRenderedPageBreak/>
              <w:t>Bibliography of l</w:t>
            </w:r>
            <w:r w:rsidR="006A37B8" w:rsidRPr="000C63C2">
              <w:rPr>
                <w:b/>
                <w:sz w:val="22"/>
                <w:szCs w:val="22"/>
                <w:lang w:val="en-US"/>
              </w:rPr>
              <w:t>iterature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8C1020" w:rsidRDefault="008C1020" w:rsidP="008C1020">
            <w:pPr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Fundamentals of Analytical Chemistry Skoog D. Crouch Stanley R., Holler James F.,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C1020">
              <w:rPr>
                <w:sz w:val="22"/>
                <w:szCs w:val="22"/>
                <w:lang w:val="en-US"/>
              </w:rPr>
              <w:t>West Donald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C1020">
              <w:rPr>
                <w:sz w:val="22"/>
                <w:szCs w:val="22"/>
                <w:lang w:val="en-US"/>
              </w:rPr>
              <w:t>M</w:t>
            </w:r>
          </w:p>
          <w:p w:rsidR="000C63C2" w:rsidRPr="00F73D29" w:rsidRDefault="00DF357C" w:rsidP="00F73D29">
            <w:pPr>
              <w:rPr>
                <w:sz w:val="22"/>
                <w:szCs w:val="22"/>
                <w:lang w:val="en-US"/>
              </w:rPr>
            </w:pPr>
            <w:proofErr w:type="spellStart"/>
            <w:r w:rsidRPr="00F73D29">
              <w:rPr>
                <w:sz w:val="22"/>
                <w:szCs w:val="22"/>
                <w:lang w:val="en-US"/>
              </w:rPr>
              <w:t>Stabin</w:t>
            </w:r>
            <w:proofErr w:type="spellEnd"/>
            <w:r w:rsidRPr="00F73D29">
              <w:rPr>
                <w:sz w:val="22"/>
                <w:szCs w:val="22"/>
                <w:lang w:val="en-US"/>
              </w:rPr>
              <w:t xml:space="preserve"> M., Radiation Protection and Dosimetry, Springer, 2007.</w:t>
            </w:r>
          </w:p>
        </w:tc>
      </w:tr>
      <w:tr w:rsidR="00171F69" w:rsidRPr="00A43B59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Knowledge</w:t>
            </w:r>
          </w:p>
          <w:p w:rsidR="008C1020" w:rsidRPr="008C1020" w:rsidRDefault="008C1020" w:rsidP="008C1020">
            <w:pPr>
              <w:jc w:val="both"/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1. Recognizes and describes the methods used in instrumental analysis in the determination of chemical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C1020">
              <w:rPr>
                <w:sz w:val="22"/>
                <w:szCs w:val="22"/>
                <w:lang w:val="en-US"/>
              </w:rPr>
              <w:t>compounds used in everyday life.</w:t>
            </w:r>
          </w:p>
          <w:p w:rsidR="008C1020" w:rsidRPr="008C1020" w:rsidRDefault="008C1020" w:rsidP="008C1020">
            <w:pPr>
              <w:jc w:val="both"/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2. Describes the physicochemical properties of substances occurring in the natural environment.</w:t>
            </w:r>
          </w:p>
          <w:p w:rsidR="008C1020" w:rsidRPr="008C1020" w:rsidRDefault="008C1020" w:rsidP="008C1020">
            <w:pPr>
              <w:jc w:val="both"/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3. Cites and understands the basic concepts and principles of industrial property protection and copyright.</w:t>
            </w:r>
          </w:p>
          <w:p w:rsidR="008C1020" w:rsidRPr="008C1020" w:rsidRDefault="008C1020" w:rsidP="008C1020">
            <w:pPr>
              <w:jc w:val="both"/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4. Estimates the expected analysis result.</w:t>
            </w:r>
          </w:p>
          <w:p w:rsidR="00070A9B" w:rsidRPr="00997D7C" w:rsidRDefault="008C1020" w:rsidP="008C1020">
            <w:pPr>
              <w:jc w:val="both"/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5. Analyzes the value of the determination error and its potential sources.</w:t>
            </w:r>
          </w:p>
        </w:tc>
      </w:tr>
      <w:tr w:rsidR="00171F69" w:rsidRPr="00A43B59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Skills</w:t>
            </w:r>
          </w:p>
          <w:p w:rsidR="008C1020" w:rsidRPr="008C1020" w:rsidRDefault="008C1020" w:rsidP="008C1020">
            <w:pPr>
              <w:jc w:val="both"/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1. Plans and uses the appropriate methods to solve the given analytical problem.</w:t>
            </w:r>
          </w:p>
          <w:p w:rsidR="008C1020" w:rsidRPr="008C1020" w:rsidRDefault="008C1020" w:rsidP="008C1020">
            <w:pPr>
              <w:jc w:val="both"/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2. Develops the given problem in the field of the application of advanced analytical methods.</w:t>
            </w:r>
          </w:p>
          <w:p w:rsidR="008C1020" w:rsidRPr="008C1020" w:rsidRDefault="008C1020" w:rsidP="008C1020">
            <w:pPr>
              <w:jc w:val="both"/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3. Organizes the workplace in accordance with the requirements of the analysis of the chemical substance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C1020">
              <w:rPr>
                <w:sz w:val="22"/>
                <w:szCs w:val="22"/>
                <w:lang w:val="en-US"/>
              </w:rPr>
              <w:t>and according to BHP rules -Occupational Safety and Health Administration (OSHA) rules.</w:t>
            </w:r>
          </w:p>
          <w:p w:rsidR="008C1020" w:rsidRPr="008C1020" w:rsidRDefault="008C1020" w:rsidP="008C1020">
            <w:pPr>
              <w:jc w:val="both"/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4. Critically evaluate obtained results during the analysis.</w:t>
            </w:r>
          </w:p>
          <w:p w:rsidR="00006C93" w:rsidRPr="000C63C2" w:rsidRDefault="008C1020" w:rsidP="008C1020">
            <w:pPr>
              <w:jc w:val="both"/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5. Discusses and integrate the information obtained in the group to verify the research hypothesis.</w:t>
            </w:r>
          </w:p>
        </w:tc>
      </w:tr>
      <w:tr w:rsidR="00171F69" w:rsidRPr="00A43B59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Social competence</w:t>
            </w:r>
          </w:p>
          <w:p w:rsidR="008C1020" w:rsidRPr="008C1020" w:rsidRDefault="008C1020" w:rsidP="008C1020">
            <w:pPr>
              <w:jc w:val="both"/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1. Takes the challenge of conducting advanced chemical analyzes.</w:t>
            </w:r>
          </w:p>
          <w:p w:rsidR="00070A9B" w:rsidRPr="000C63C2" w:rsidRDefault="008C1020" w:rsidP="008C1020">
            <w:pPr>
              <w:jc w:val="both"/>
              <w:rPr>
                <w:sz w:val="22"/>
                <w:szCs w:val="22"/>
                <w:lang w:val="en-US"/>
              </w:rPr>
            </w:pPr>
            <w:r w:rsidRPr="008C1020">
              <w:rPr>
                <w:sz w:val="22"/>
                <w:szCs w:val="22"/>
                <w:lang w:val="en-US"/>
              </w:rPr>
              <w:t>2. Can estimate the content of components present in chemical substances used in everyday life.</w:t>
            </w:r>
          </w:p>
        </w:tc>
      </w:tr>
    </w:tbl>
    <w:p w:rsidR="00241721" w:rsidRPr="000C63C2" w:rsidRDefault="00241721" w:rsidP="00241721">
      <w:pPr>
        <w:spacing w:before="240" w:after="120"/>
        <w:rPr>
          <w:b/>
          <w:sz w:val="22"/>
          <w:szCs w:val="22"/>
          <w:lang w:val="en-US"/>
        </w:rPr>
      </w:pPr>
    </w:p>
    <w:sectPr w:rsidR="00241721" w:rsidRPr="000C63C2" w:rsidSect="001A68A8">
      <w:headerReference w:type="default" r:id="rId8"/>
      <w:footerReference w:type="default" r:id="rId9"/>
      <w:pgSz w:w="11906" w:h="16838"/>
      <w:pgMar w:top="68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7E" w:rsidRDefault="005C217E" w:rsidP="00941E09">
      <w:r>
        <w:separator/>
      </w:r>
    </w:p>
  </w:endnote>
  <w:endnote w:type="continuationSeparator" w:id="0">
    <w:p w:rsidR="005C217E" w:rsidRDefault="005C217E" w:rsidP="009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9A" w:rsidRPr="00AA1195" w:rsidRDefault="00AA1195" w:rsidP="0079774D">
    <w:pPr>
      <w:pStyle w:val="Stopka"/>
      <w:jc w:val="center"/>
      <w:rPr>
        <w:rFonts w:ascii="Cambria" w:hAnsi="Cambria" w:cs="Arial"/>
        <w:color w:val="808080" w:themeColor="background1" w:themeShade="80"/>
        <w:sz w:val="18"/>
        <w:szCs w:val="16"/>
      </w:rPr>
    </w:pPr>
    <w:r w:rsidRPr="00AA1195">
      <w:rPr>
        <w:rFonts w:ascii="Cambria" w:hAnsi="Cambria" w:cs="Arial"/>
        <w:color w:val="808080" w:themeColor="background1" w:themeShade="80"/>
        <w:sz w:val="18"/>
        <w:szCs w:val="16"/>
      </w:rPr>
      <w:t xml:space="preserve">- </w: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begin"/>
    </w:r>
    <w:r w:rsidRPr="00AA1195">
      <w:rPr>
        <w:rFonts w:ascii="Cambria" w:hAnsi="Cambria" w:cs="Arial"/>
        <w:color w:val="808080" w:themeColor="background1" w:themeShade="80"/>
        <w:sz w:val="18"/>
        <w:szCs w:val="16"/>
      </w:rPr>
      <w:instrText xml:space="preserve"> PAGE   \* MERGEFORMAT </w:instrTex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separate"/>
    </w:r>
    <w:r w:rsidR="004B68D3">
      <w:rPr>
        <w:rFonts w:ascii="Cambria" w:hAnsi="Cambria" w:cs="Arial"/>
        <w:noProof/>
        <w:color w:val="808080" w:themeColor="background1" w:themeShade="80"/>
        <w:sz w:val="18"/>
        <w:szCs w:val="16"/>
      </w:rPr>
      <w:t>2</w:t>
    </w:r>
    <w:r w:rsidR="00762A22"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fldChar w:fldCharType="end"/>
    </w:r>
    <w:r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7E" w:rsidRDefault="005C217E" w:rsidP="00941E09">
      <w:r>
        <w:separator/>
      </w:r>
    </w:p>
  </w:footnote>
  <w:footnote w:type="continuationSeparator" w:id="0">
    <w:p w:rsidR="005C217E" w:rsidRDefault="005C217E" w:rsidP="0094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EF1" w:rsidRPr="00AA1195" w:rsidRDefault="00BD7EF1" w:rsidP="00BD7EF1">
    <w:pPr>
      <w:pStyle w:val="Nagwek"/>
      <w:tabs>
        <w:tab w:val="clear" w:pos="4536"/>
        <w:tab w:val="center" w:pos="4820"/>
      </w:tabs>
      <w:rPr>
        <w:color w:val="808080" w:themeColor="background1" w:themeShade="80"/>
      </w:rPr>
    </w:pPr>
    <w:r w:rsidRPr="00AA1195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1DF42377" wp14:editId="3A014CBF">
          <wp:simplePos x="0" y="0"/>
          <wp:positionH relativeFrom="column">
            <wp:posOffset>2811145</wp:posOffset>
          </wp:positionH>
          <wp:positionV relativeFrom="paragraph">
            <wp:posOffset>139304</wp:posOffset>
          </wp:positionV>
          <wp:extent cx="500380" cy="359410"/>
          <wp:effectExtent l="0" t="0" r="0" b="2540"/>
          <wp:wrapNone/>
          <wp:docPr id="7" name="Obraz 1" descr="logo UG 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G b_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3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1195">
      <w:rPr>
        <w:color w:val="808080" w:themeColor="background1" w:themeShade="80"/>
      </w:rPr>
      <w:ptab w:relativeTo="margin" w:alignment="center" w:leader="none"/>
    </w:r>
    <w:r w:rsidRPr="00AA1195">
      <w:rPr>
        <w:color w:val="808080" w:themeColor="background1" w:themeShade="80"/>
      </w:rPr>
      <w:ptab w:relativeTo="margin" w:alignment="right" w:leader="none"/>
    </w:r>
  </w:p>
  <w:p w:rsidR="00BD7EF1" w:rsidRPr="00AA1195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:rsidR="00BD7EF1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:rsidR="00265EB9" w:rsidRPr="00265EB9" w:rsidRDefault="00265EB9" w:rsidP="00BD7EF1">
    <w:pPr>
      <w:pStyle w:val="Nagwek"/>
      <w:jc w:val="center"/>
      <w:rPr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7F22"/>
    <w:multiLevelType w:val="hybridMultilevel"/>
    <w:tmpl w:val="6A0E08A6"/>
    <w:lvl w:ilvl="0" w:tplc="BABE950C">
      <w:start w:val="1"/>
      <w:numFmt w:val="upperLetter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169509F8"/>
    <w:multiLevelType w:val="hybridMultilevel"/>
    <w:tmpl w:val="E8CEA338"/>
    <w:lvl w:ilvl="0" w:tplc="605E720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NQQR5hZmZqaGSjpKwanFxZn5eSAFxrUAyxM/OSwAAAA="/>
  </w:docVars>
  <w:rsids>
    <w:rsidRoot w:val="00241721"/>
    <w:rsid w:val="00001C8A"/>
    <w:rsid w:val="00003A3F"/>
    <w:rsid w:val="000055AA"/>
    <w:rsid w:val="000066A6"/>
    <w:rsid w:val="00006C93"/>
    <w:rsid w:val="000301F0"/>
    <w:rsid w:val="000579BC"/>
    <w:rsid w:val="000608A3"/>
    <w:rsid w:val="00070A9B"/>
    <w:rsid w:val="00072F1A"/>
    <w:rsid w:val="00094EBE"/>
    <w:rsid w:val="000A07C2"/>
    <w:rsid w:val="000A4010"/>
    <w:rsid w:val="000A46AF"/>
    <w:rsid w:val="000A660C"/>
    <w:rsid w:val="000C63C2"/>
    <w:rsid w:val="000E2B97"/>
    <w:rsid w:val="000E3726"/>
    <w:rsid w:val="000F2A8E"/>
    <w:rsid w:val="00115DF5"/>
    <w:rsid w:val="00145F4C"/>
    <w:rsid w:val="0014617F"/>
    <w:rsid w:val="00147D8C"/>
    <w:rsid w:val="00154970"/>
    <w:rsid w:val="001651DC"/>
    <w:rsid w:val="00171F69"/>
    <w:rsid w:val="0017654F"/>
    <w:rsid w:val="00177B43"/>
    <w:rsid w:val="001979AC"/>
    <w:rsid w:val="001A1E8A"/>
    <w:rsid w:val="001A38C8"/>
    <w:rsid w:val="001A68A8"/>
    <w:rsid w:val="001B0900"/>
    <w:rsid w:val="001C4432"/>
    <w:rsid w:val="001D5371"/>
    <w:rsid w:val="001E4534"/>
    <w:rsid w:val="001F038B"/>
    <w:rsid w:val="001F1328"/>
    <w:rsid w:val="00210A2F"/>
    <w:rsid w:val="002158FC"/>
    <w:rsid w:val="002241B7"/>
    <w:rsid w:val="00225937"/>
    <w:rsid w:val="00226C55"/>
    <w:rsid w:val="0023459E"/>
    <w:rsid w:val="0023643F"/>
    <w:rsid w:val="00241721"/>
    <w:rsid w:val="00265EB9"/>
    <w:rsid w:val="00271A3A"/>
    <w:rsid w:val="00271FBB"/>
    <w:rsid w:val="00273F03"/>
    <w:rsid w:val="00290F46"/>
    <w:rsid w:val="002A2E8A"/>
    <w:rsid w:val="002D1C12"/>
    <w:rsid w:val="002E6D3F"/>
    <w:rsid w:val="002F1093"/>
    <w:rsid w:val="002F3125"/>
    <w:rsid w:val="002F7DF7"/>
    <w:rsid w:val="00307AD1"/>
    <w:rsid w:val="0031497A"/>
    <w:rsid w:val="00315902"/>
    <w:rsid w:val="00320B85"/>
    <w:rsid w:val="00321495"/>
    <w:rsid w:val="00322FF3"/>
    <w:rsid w:val="00323842"/>
    <w:rsid w:val="00345929"/>
    <w:rsid w:val="0037138B"/>
    <w:rsid w:val="00373E52"/>
    <w:rsid w:val="00393900"/>
    <w:rsid w:val="003968EC"/>
    <w:rsid w:val="00397563"/>
    <w:rsid w:val="003A0915"/>
    <w:rsid w:val="003A5287"/>
    <w:rsid w:val="003B13F9"/>
    <w:rsid w:val="003B40D7"/>
    <w:rsid w:val="003C1888"/>
    <w:rsid w:val="003D5BF2"/>
    <w:rsid w:val="003E2662"/>
    <w:rsid w:val="003E6429"/>
    <w:rsid w:val="0040012F"/>
    <w:rsid w:val="004037C8"/>
    <w:rsid w:val="00410C33"/>
    <w:rsid w:val="00411FF8"/>
    <w:rsid w:val="004306A1"/>
    <w:rsid w:val="00453F1E"/>
    <w:rsid w:val="0048100E"/>
    <w:rsid w:val="00485C42"/>
    <w:rsid w:val="00487AB5"/>
    <w:rsid w:val="004A19EF"/>
    <w:rsid w:val="004A27BA"/>
    <w:rsid w:val="004B491C"/>
    <w:rsid w:val="004B68D3"/>
    <w:rsid w:val="004B6FA5"/>
    <w:rsid w:val="004B7B65"/>
    <w:rsid w:val="004C0CF8"/>
    <w:rsid w:val="004C756C"/>
    <w:rsid w:val="004E2490"/>
    <w:rsid w:val="004E26A6"/>
    <w:rsid w:val="004F7945"/>
    <w:rsid w:val="00501F58"/>
    <w:rsid w:val="00506C86"/>
    <w:rsid w:val="00526196"/>
    <w:rsid w:val="005431D0"/>
    <w:rsid w:val="00560294"/>
    <w:rsid w:val="0057541A"/>
    <w:rsid w:val="005817E6"/>
    <w:rsid w:val="00593EB9"/>
    <w:rsid w:val="005945B6"/>
    <w:rsid w:val="005B566B"/>
    <w:rsid w:val="005C217E"/>
    <w:rsid w:val="005C4854"/>
    <w:rsid w:val="005E2330"/>
    <w:rsid w:val="005E3A42"/>
    <w:rsid w:val="00617BB5"/>
    <w:rsid w:val="00620A9A"/>
    <w:rsid w:val="00620EEF"/>
    <w:rsid w:val="00624DC6"/>
    <w:rsid w:val="00625373"/>
    <w:rsid w:val="006427C3"/>
    <w:rsid w:val="0064605C"/>
    <w:rsid w:val="006602B5"/>
    <w:rsid w:val="0066480A"/>
    <w:rsid w:val="00676A27"/>
    <w:rsid w:val="00677F13"/>
    <w:rsid w:val="00680440"/>
    <w:rsid w:val="006849B0"/>
    <w:rsid w:val="00695878"/>
    <w:rsid w:val="00697075"/>
    <w:rsid w:val="006A0AD9"/>
    <w:rsid w:val="006A37B8"/>
    <w:rsid w:val="006B121A"/>
    <w:rsid w:val="006B1D12"/>
    <w:rsid w:val="006B366A"/>
    <w:rsid w:val="006B6509"/>
    <w:rsid w:val="006C1ABB"/>
    <w:rsid w:val="006D165E"/>
    <w:rsid w:val="006D6880"/>
    <w:rsid w:val="006E430A"/>
    <w:rsid w:val="006F17B2"/>
    <w:rsid w:val="00703D34"/>
    <w:rsid w:val="00705274"/>
    <w:rsid w:val="0072323E"/>
    <w:rsid w:val="00731BCA"/>
    <w:rsid w:val="007371A3"/>
    <w:rsid w:val="00747738"/>
    <w:rsid w:val="007527BE"/>
    <w:rsid w:val="007561DD"/>
    <w:rsid w:val="007577E8"/>
    <w:rsid w:val="00762A22"/>
    <w:rsid w:val="00763DAF"/>
    <w:rsid w:val="0077363C"/>
    <w:rsid w:val="00791D37"/>
    <w:rsid w:val="00794F9A"/>
    <w:rsid w:val="0079774D"/>
    <w:rsid w:val="007A23E5"/>
    <w:rsid w:val="007C0A10"/>
    <w:rsid w:val="007C1DA6"/>
    <w:rsid w:val="007D12CE"/>
    <w:rsid w:val="007D50AD"/>
    <w:rsid w:val="007F330E"/>
    <w:rsid w:val="008109EE"/>
    <w:rsid w:val="008122C2"/>
    <w:rsid w:val="008211E6"/>
    <w:rsid w:val="00822F50"/>
    <w:rsid w:val="00825F01"/>
    <w:rsid w:val="00870A74"/>
    <w:rsid w:val="00872223"/>
    <w:rsid w:val="00872DA4"/>
    <w:rsid w:val="0087514C"/>
    <w:rsid w:val="008832D6"/>
    <w:rsid w:val="0089258F"/>
    <w:rsid w:val="00897260"/>
    <w:rsid w:val="008A0701"/>
    <w:rsid w:val="008A071D"/>
    <w:rsid w:val="008A53D0"/>
    <w:rsid w:val="008A67FA"/>
    <w:rsid w:val="008B7B2B"/>
    <w:rsid w:val="008C053D"/>
    <w:rsid w:val="008C1020"/>
    <w:rsid w:val="008D1E04"/>
    <w:rsid w:val="008F5D9A"/>
    <w:rsid w:val="009070AA"/>
    <w:rsid w:val="0090787B"/>
    <w:rsid w:val="00924E54"/>
    <w:rsid w:val="00937DD4"/>
    <w:rsid w:val="00941E09"/>
    <w:rsid w:val="00953F5A"/>
    <w:rsid w:val="00954D6C"/>
    <w:rsid w:val="00955A73"/>
    <w:rsid w:val="00962A4B"/>
    <w:rsid w:val="009650EB"/>
    <w:rsid w:val="00965715"/>
    <w:rsid w:val="00965A3A"/>
    <w:rsid w:val="00967774"/>
    <w:rsid w:val="00973D23"/>
    <w:rsid w:val="009773BE"/>
    <w:rsid w:val="009818D4"/>
    <w:rsid w:val="00982163"/>
    <w:rsid w:val="0098608D"/>
    <w:rsid w:val="00993F23"/>
    <w:rsid w:val="00997D7C"/>
    <w:rsid w:val="009A20EF"/>
    <w:rsid w:val="009A24AB"/>
    <w:rsid w:val="009A3F76"/>
    <w:rsid w:val="009E3F36"/>
    <w:rsid w:val="009F5463"/>
    <w:rsid w:val="009F6101"/>
    <w:rsid w:val="00A05716"/>
    <w:rsid w:val="00A13C6F"/>
    <w:rsid w:val="00A15050"/>
    <w:rsid w:val="00A15F9B"/>
    <w:rsid w:val="00A20758"/>
    <w:rsid w:val="00A24A90"/>
    <w:rsid w:val="00A43B59"/>
    <w:rsid w:val="00A45F95"/>
    <w:rsid w:val="00A47702"/>
    <w:rsid w:val="00A47D1D"/>
    <w:rsid w:val="00A6323E"/>
    <w:rsid w:val="00A6663A"/>
    <w:rsid w:val="00A81679"/>
    <w:rsid w:val="00A83A67"/>
    <w:rsid w:val="00A86280"/>
    <w:rsid w:val="00AA1195"/>
    <w:rsid w:val="00AA125D"/>
    <w:rsid w:val="00AA5F76"/>
    <w:rsid w:val="00AA6C21"/>
    <w:rsid w:val="00AC25DD"/>
    <w:rsid w:val="00AC7F71"/>
    <w:rsid w:val="00AD070D"/>
    <w:rsid w:val="00AD42A4"/>
    <w:rsid w:val="00AE2DA1"/>
    <w:rsid w:val="00AF2C86"/>
    <w:rsid w:val="00B0087C"/>
    <w:rsid w:val="00B10958"/>
    <w:rsid w:val="00B11B80"/>
    <w:rsid w:val="00B13321"/>
    <w:rsid w:val="00B2454E"/>
    <w:rsid w:val="00B24C3B"/>
    <w:rsid w:val="00B25D70"/>
    <w:rsid w:val="00B330C7"/>
    <w:rsid w:val="00B34566"/>
    <w:rsid w:val="00B41E0B"/>
    <w:rsid w:val="00B50ADF"/>
    <w:rsid w:val="00B55362"/>
    <w:rsid w:val="00B61913"/>
    <w:rsid w:val="00B6606A"/>
    <w:rsid w:val="00B71466"/>
    <w:rsid w:val="00B7615B"/>
    <w:rsid w:val="00B961EA"/>
    <w:rsid w:val="00B97144"/>
    <w:rsid w:val="00BA16F8"/>
    <w:rsid w:val="00BA2987"/>
    <w:rsid w:val="00BB14EF"/>
    <w:rsid w:val="00BB442A"/>
    <w:rsid w:val="00BC445F"/>
    <w:rsid w:val="00BD3F77"/>
    <w:rsid w:val="00BD7886"/>
    <w:rsid w:val="00BD7EF1"/>
    <w:rsid w:val="00BE1569"/>
    <w:rsid w:val="00BF1038"/>
    <w:rsid w:val="00BF75E1"/>
    <w:rsid w:val="00C175B6"/>
    <w:rsid w:val="00C33541"/>
    <w:rsid w:val="00C5106D"/>
    <w:rsid w:val="00C65211"/>
    <w:rsid w:val="00C768BB"/>
    <w:rsid w:val="00C80BD7"/>
    <w:rsid w:val="00C83F4A"/>
    <w:rsid w:val="00C91415"/>
    <w:rsid w:val="00C922FC"/>
    <w:rsid w:val="00C954A2"/>
    <w:rsid w:val="00CC51AF"/>
    <w:rsid w:val="00CD29F1"/>
    <w:rsid w:val="00CD4456"/>
    <w:rsid w:val="00CD49DE"/>
    <w:rsid w:val="00CE4D65"/>
    <w:rsid w:val="00CF5C9E"/>
    <w:rsid w:val="00D4506C"/>
    <w:rsid w:val="00D47121"/>
    <w:rsid w:val="00D51E95"/>
    <w:rsid w:val="00D6323E"/>
    <w:rsid w:val="00D93227"/>
    <w:rsid w:val="00DC0F20"/>
    <w:rsid w:val="00DE3F01"/>
    <w:rsid w:val="00DE524E"/>
    <w:rsid w:val="00DE701F"/>
    <w:rsid w:val="00DF357C"/>
    <w:rsid w:val="00DF6B43"/>
    <w:rsid w:val="00E16BE6"/>
    <w:rsid w:val="00E32DE4"/>
    <w:rsid w:val="00E3309A"/>
    <w:rsid w:val="00E454F4"/>
    <w:rsid w:val="00E66F4A"/>
    <w:rsid w:val="00E72664"/>
    <w:rsid w:val="00E81CF5"/>
    <w:rsid w:val="00E8665C"/>
    <w:rsid w:val="00E90896"/>
    <w:rsid w:val="00EA7496"/>
    <w:rsid w:val="00EB5009"/>
    <w:rsid w:val="00EB7ACA"/>
    <w:rsid w:val="00EC4696"/>
    <w:rsid w:val="00ED5E7A"/>
    <w:rsid w:val="00EE313C"/>
    <w:rsid w:val="00EE5AA8"/>
    <w:rsid w:val="00EE75E7"/>
    <w:rsid w:val="00F07814"/>
    <w:rsid w:val="00F1315D"/>
    <w:rsid w:val="00F4282D"/>
    <w:rsid w:val="00F52157"/>
    <w:rsid w:val="00F57AD8"/>
    <w:rsid w:val="00F73D29"/>
    <w:rsid w:val="00F8070B"/>
    <w:rsid w:val="00F90DE5"/>
    <w:rsid w:val="00FA69D3"/>
    <w:rsid w:val="00FB236D"/>
    <w:rsid w:val="00FC6438"/>
    <w:rsid w:val="00FC7833"/>
    <w:rsid w:val="00FE1E7B"/>
    <w:rsid w:val="00FF2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E4726-1F64-4688-9A04-99F0F080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B5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0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241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4172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417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41721"/>
    <w:rPr>
      <w:vertAlign w:val="superscript"/>
    </w:rPr>
  </w:style>
  <w:style w:type="table" w:styleId="Tabela-Siatka">
    <w:name w:val="Table Grid"/>
    <w:basedOn w:val="Standardowy"/>
    <w:rsid w:val="0024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2417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17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1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17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57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50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A83A67"/>
  </w:style>
  <w:style w:type="character" w:customStyle="1" w:styleId="Nagwek3Znak">
    <w:name w:val="Nagłówek 3 Znak"/>
    <w:basedOn w:val="Domylnaczcionkaakapitu"/>
    <w:link w:val="Nagwek3"/>
    <w:uiPriority w:val="9"/>
    <w:rsid w:val="006602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2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06A1"/>
    <w:rPr>
      <w:b/>
      <w:bCs/>
    </w:rPr>
  </w:style>
  <w:style w:type="paragraph" w:customStyle="1" w:styleId="Default">
    <w:name w:val="Default"/>
    <w:rsid w:val="00BA2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B44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7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  <w:div w:id="88502806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17821-A8E3-4416-B2BC-B877A84D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a.tusk</dc:creator>
  <cp:lastModifiedBy>dag</cp:lastModifiedBy>
  <cp:revision>32</cp:revision>
  <cp:lastPrinted>2019-06-03T08:53:00Z</cp:lastPrinted>
  <dcterms:created xsi:type="dcterms:W3CDTF">2019-06-06T08:22:00Z</dcterms:created>
  <dcterms:modified xsi:type="dcterms:W3CDTF">2022-03-04T07:48:00Z</dcterms:modified>
</cp:coreProperties>
</file>